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156082" w:themeColor="accent1"/>
        </w:rPr>
        <w:id w:val="-1819494653"/>
        <w:docPartObj>
          <w:docPartGallery w:val="Cover Pages"/>
          <w:docPartUnique/>
        </w:docPartObj>
      </w:sdtPr>
      <w:sdtEndPr>
        <w:rPr>
          <w:rFonts w:eastAsiaTheme="minorHAnsi"/>
          <w:color w:val="auto"/>
          <w:kern w:val="2"/>
          <w:sz w:val="24"/>
          <w:szCs w:val="24"/>
          <w14:ligatures w14:val="standardContextual"/>
        </w:rPr>
      </w:sdtEndPr>
      <w:sdtContent>
        <w:p w14:paraId="21FD7A6B" w14:textId="2B07153C" w:rsidR="00291446" w:rsidRDefault="00291446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056B9035" wp14:editId="0A880538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C68983BAF1D5430A932A2A0A0DB1C08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144E1026" w14:textId="6CDD854F" w:rsidR="00291446" w:rsidRDefault="00304F55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72"/>
                  <w:szCs w:val="72"/>
                </w:rPr>
                <w:t>TEACHING LEARNING STATEMENT</w:t>
              </w:r>
            </w:p>
          </w:sdtContent>
        </w:sdt>
        <w:p w14:paraId="11CE3AE7" w14:textId="0E527E8F" w:rsidR="00291446" w:rsidRDefault="00291446">
          <w:pPr>
            <w:pStyle w:val="NoSpacing"/>
            <w:jc w:val="center"/>
            <w:rPr>
              <w:color w:val="156082" w:themeColor="accent1"/>
              <w:sz w:val="28"/>
              <w:szCs w:val="28"/>
            </w:rPr>
          </w:pPr>
          <w:sdt>
            <w:sdtPr>
              <w:rPr>
                <w:color w:val="156082" w:themeColor="accent1"/>
                <w:sz w:val="28"/>
                <w:szCs w:val="28"/>
              </w:rPr>
              <w:alias w:val="Subtitle"/>
              <w:tag w:val=""/>
              <w:id w:val="328029620"/>
              <w:placeholder>
                <w:docPart w:val="EB3A6426EB73482FA16423F858825B5A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172DA2">
                <w:rPr>
                  <w:color w:val="156082" w:themeColor="accent1"/>
                  <w:sz w:val="28"/>
                  <w:szCs w:val="28"/>
                </w:rPr>
                <w:t>Educating Adults in a Changing World</w:t>
              </w:r>
            </w:sdtContent>
          </w:sdt>
        </w:p>
        <w:p w14:paraId="2FB67321" w14:textId="77777777" w:rsidR="00291446" w:rsidRDefault="00291446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F3CDF28" wp14:editId="7D49C2A4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10-15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27451FAC" w14:textId="1A3EBB41" w:rsidR="00291446" w:rsidRDefault="009E3B38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>October 15, 2025</w:t>
                                    </w:r>
                                  </w:p>
                                </w:sdtContent>
                              </w:sdt>
                              <w:p w14:paraId="21DCC80D" w14:textId="5CC79DEC" w:rsidR="00291446" w:rsidRDefault="00291446">
                                <w:pPr>
                                  <w:pStyle w:val="NoSpacing"/>
                                  <w:jc w:val="center"/>
                                  <w:rPr>
                                    <w:color w:val="15608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156082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9E3B38">
                                      <w:rPr>
                                        <w:caps/>
                                        <w:color w:val="156082" w:themeColor="accent1"/>
                                      </w:rPr>
                                      <w:t>Valdosta State university</w:t>
                                    </w:r>
                                    <w:r w:rsidR="00CC765B">
                                      <w:rPr>
                                        <w:caps/>
                                        <w:color w:val="156082" w:themeColor="accent1"/>
                                      </w:rPr>
                                      <w:t>- Adult learning &amp; Education</w:t>
                                    </w:r>
                                  </w:sdtContent>
                                </w:sdt>
                              </w:p>
                              <w:p w14:paraId="2DF367E6" w14:textId="3A8C7615" w:rsidR="00291446" w:rsidRDefault="00291446">
                                <w:pPr>
                                  <w:pStyle w:val="NoSpacing"/>
                                  <w:jc w:val="center"/>
                                  <w:rPr>
                                    <w:color w:val="15608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CC765B">
                                      <w:rPr>
                                        <w:color w:val="156082" w:themeColor="accent1"/>
                                      </w:rPr>
                                      <w:t xml:space="preserve">1500 North Patterson Street, Valdosta Georgia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F3CDF2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10-15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7451FAC" w14:textId="1A3EBB41" w:rsidR="00291446" w:rsidRDefault="009E3B38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>October 15, 2025</w:t>
                              </w:r>
                            </w:p>
                          </w:sdtContent>
                        </w:sdt>
                        <w:p w14:paraId="21DCC80D" w14:textId="5CC79DEC" w:rsidR="00291446" w:rsidRDefault="00291446">
                          <w:pPr>
                            <w:pStyle w:val="NoSpacing"/>
                            <w:jc w:val="center"/>
                            <w:rPr>
                              <w:color w:val="156082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156082" w:themeColor="accent1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9E3B38">
                                <w:rPr>
                                  <w:caps/>
                                  <w:color w:val="156082" w:themeColor="accent1"/>
                                </w:rPr>
                                <w:t>Valdosta State university</w:t>
                              </w:r>
                              <w:r w:rsidR="00CC765B">
                                <w:rPr>
                                  <w:caps/>
                                  <w:color w:val="156082" w:themeColor="accent1"/>
                                </w:rPr>
                                <w:t>- Adult learning &amp; Education</w:t>
                              </w:r>
                            </w:sdtContent>
                          </w:sdt>
                        </w:p>
                        <w:p w14:paraId="2DF367E6" w14:textId="3A8C7615" w:rsidR="00291446" w:rsidRDefault="00291446">
                          <w:pPr>
                            <w:pStyle w:val="NoSpacing"/>
                            <w:jc w:val="center"/>
                            <w:rPr>
                              <w:color w:val="156082" w:themeColor="accent1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</w:rPr>
                              <w:alias w:val="Addres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CC765B">
                                <w:rPr>
                                  <w:color w:val="156082" w:themeColor="accent1"/>
                                </w:rPr>
                                <w:t xml:space="preserve">1500 North Patterson Street, Valdosta Georgia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11BD07DD" wp14:editId="1BE36D8C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0E7A3C0" w14:textId="53E326B1" w:rsidR="00291446" w:rsidRDefault="00291446">
          <w:r>
            <w:br w:type="page"/>
          </w:r>
        </w:p>
      </w:sdtContent>
    </w:sdt>
    <w:p w14:paraId="58FAF4E4" w14:textId="65DE090C" w:rsidR="00BC60E1" w:rsidRDefault="008517ED" w:rsidP="000353F3">
      <w:pPr>
        <w:pStyle w:val="NoSpacing"/>
        <w:spacing w:line="480" w:lineRule="auto"/>
        <w:jc w:val="both"/>
      </w:pPr>
      <w:r>
        <w:lastRenderedPageBreak/>
        <w:t>Teaching Philo</w:t>
      </w:r>
      <w:r w:rsidR="00AB476B">
        <w:t>sophy Statement</w:t>
      </w:r>
    </w:p>
    <w:p w14:paraId="45D6DF2D" w14:textId="120DF3D1" w:rsidR="00753B9D" w:rsidRDefault="00753B9D" w:rsidP="000353F3">
      <w:pPr>
        <w:pStyle w:val="NoSpacing"/>
        <w:spacing w:line="480" w:lineRule="auto"/>
        <w:jc w:val="both"/>
      </w:pPr>
    </w:p>
    <w:p w14:paraId="529B2951" w14:textId="397397C5" w:rsidR="00753B9D" w:rsidRDefault="00075D4D" w:rsidP="000353F3">
      <w:pPr>
        <w:pStyle w:val="NoSpacing"/>
        <w:spacing w:line="480" w:lineRule="auto"/>
        <w:jc w:val="both"/>
      </w:pPr>
      <w:r>
        <w:t xml:space="preserve">My teaching philosophy is grounded in the belief that the learning process should be inclusive, </w:t>
      </w:r>
      <w:r w:rsidR="00231A14">
        <w:t xml:space="preserve">flexible and learner-centric in the desired outcomes. </w:t>
      </w:r>
      <w:r w:rsidR="004F27D1">
        <w:t xml:space="preserve">My beliefs are centered around my experience as an adult learner, having completed </w:t>
      </w:r>
      <w:r w:rsidR="008E3D3C">
        <w:t>all</w:t>
      </w:r>
      <w:r w:rsidR="004F27D1">
        <w:t xml:space="preserve"> my college degrees as a working adult. As a teacher, my experience </w:t>
      </w:r>
      <w:r w:rsidR="009D64CC">
        <w:t xml:space="preserve">is that adult learners are unique in their </w:t>
      </w:r>
      <w:r w:rsidR="00C160B7">
        <w:t>“why</w:t>
      </w:r>
      <w:r w:rsidR="009D64CC">
        <w:t xml:space="preserve">” and their ability to chase their “why”. </w:t>
      </w:r>
      <w:r w:rsidR="00BB4062">
        <w:t>Work, time,</w:t>
      </w:r>
      <w:r w:rsidR="009D64CC">
        <w:t xml:space="preserve"> health, and unforeseen challenges </w:t>
      </w:r>
      <w:r w:rsidR="00C160B7">
        <w:t>create distance between desire and execution for adult learners</w:t>
      </w:r>
      <w:r w:rsidR="00BB4062">
        <w:t xml:space="preserve"> </w:t>
      </w:r>
      <w:sdt>
        <w:sdtPr>
          <w:id w:val="-550690757"/>
          <w:citation/>
        </w:sdtPr>
        <w:sdtContent>
          <w:r w:rsidR="00BB4062">
            <w:fldChar w:fldCharType="begin"/>
          </w:r>
          <w:r w:rsidR="00BB4062">
            <w:instrText xml:space="preserve"> CITATION Tus22 \l 1033 </w:instrText>
          </w:r>
          <w:r w:rsidR="00BB4062">
            <w:fldChar w:fldCharType="separate"/>
          </w:r>
          <w:r w:rsidR="00BB4062" w:rsidRPr="00BB4062">
            <w:rPr>
              <w:noProof/>
            </w:rPr>
            <w:t>(Tuset, 2022)</w:t>
          </w:r>
          <w:r w:rsidR="00BB4062">
            <w:fldChar w:fldCharType="end"/>
          </w:r>
        </w:sdtContent>
      </w:sdt>
      <w:r w:rsidR="00C160B7">
        <w:t xml:space="preserve">. </w:t>
      </w:r>
      <w:r w:rsidR="00052696">
        <w:t xml:space="preserve">It is important for teachers to keep the learning and learners </w:t>
      </w:r>
      <w:r w:rsidR="00943BED">
        <w:t>on the same end goals.</w:t>
      </w:r>
    </w:p>
    <w:p w14:paraId="6F5EBD49" w14:textId="77777777" w:rsidR="00231A14" w:rsidRDefault="00231A14" w:rsidP="000353F3">
      <w:pPr>
        <w:pStyle w:val="NoSpacing"/>
        <w:spacing w:line="480" w:lineRule="auto"/>
        <w:jc w:val="both"/>
      </w:pPr>
    </w:p>
    <w:p w14:paraId="4D6866E1" w14:textId="22923576" w:rsidR="00231A14" w:rsidRDefault="009419FB" w:rsidP="000353F3">
      <w:pPr>
        <w:pStyle w:val="NoSpacing"/>
        <w:spacing w:line="480" w:lineRule="auto"/>
        <w:jc w:val="both"/>
      </w:pPr>
      <w:r>
        <w:t>Adult learners have a balance between life’s demand and learning</w:t>
      </w:r>
      <w:r w:rsidR="00D069A7">
        <w:t xml:space="preserve"> demands. The two can intersect and create mini crisis’s </w:t>
      </w:r>
      <w:r w:rsidR="00936FEA">
        <w:t>daily</w:t>
      </w:r>
      <w:r w:rsidR="00D069A7">
        <w:t xml:space="preserve"> if not managed properly. The learning facilitator </w:t>
      </w:r>
      <w:r w:rsidR="00936FEA">
        <w:t>can</w:t>
      </w:r>
      <w:r w:rsidR="00D069A7">
        <w:t xml:space="preserve"> impact the learning process by using emotional intelligence to </w:t>
      </w:r>
      <w:r w:rsidR="00214A03">
        <w:t xml:space="preserve">monitor the learning process. Great teachers in my life were able to reach me by understanding my life challenges, while still challenging my ability and </w:t>
      </w:r>
      <w:r w:rsidR="00127131">
        <w:t xml:space="preserve">having accountability. One of my more recent teachers reached </w:t>
      </w:r>
      <w:r w:rsidR="00936FEA">
        <w:t>me</w:t>
      </w:r>
      <w:r w:rsidR="00127131">
        <w:t xml:space="preserve"> by sending an email. The email just addressed concerns about my life and participation. In this situation, there was a substantial illness that had a greater impact </w:t>
      </w:r>
      <w:r w:rsidR="00936FEA">
        <w:t>than</w:t>
      </w:r>
      <w:r w:rsidR="00127131">
        <w:t xml:space="preserve"> I’d realized. The teacher had the emotional intelligence to utilize our previous conversations to reach me in a way that was a reminder of </w:t>
      </w:r>
      <w:r w:rsidR="008C3C82">
        <w:t>my capability, but also that the door was open and no student would be left behind if they in fact wanted to go on this educational journey.</w:t>
      </w:r>
    </w:p>
    <w:p w14:paraId="4F0096F6" w14:textId="1D33E3C0" w:rsidR="008C3C82" w:rsidRDefault="0078524D" w:rsidP="000353F3">
      <w:pPr>
        <w:pStyle w:val="NoSpacing"/>
        <w:spacing w:line="480" w:lineRule="auto"/>
        <w:jc w:val="both"/>
      </w:pPr>
      <w:r>
        <w:t xml:space="preserve">As a teacher, the role is to ensure the content in a given course is </w:t>
      </w:r>
      <w:r w:rsidR="00627A8D">
        <w:t xml:space="preserve">provided in a way that students </w:t>
      </w:r>
      <w:r w:rsidR="00936FEA">
        <w:t>can</w:t>
      </w:r>
      <w:r w:rsidR="00627A8D">
        <w:t xml:space="preserve"> learn and retain information to be successful in a given field of study. In addition, teachers should be able to make a reasonable effort with adult learners to provide a path to success. Curriculums </w:t>
      </w:r>
      <w:r w:rsidR="00627A8D">
        <w:lastRenderedPageBreak/>
        <w:t xml:space="preserve">must have </w:t>
      </w:r>
      <w:r w:rsidR="00893794">
        <w:t>flexibility</w:t>
      </w:r>
      <w:r w:rsidR="00627A8D">
        <w:t xml:space="preserve"> to </w:t>
      </w:r>
      <w:r w:rsidR="00893794">
        <w:t>pivot with content delivery methods</w:t>
      </w:r>
      <w:r w:rsidR="00D77BB0">
        <w:t>, while maintaining the needs of learners. Teachers must find as many bridges as possible with students, as learning styles vary by student.</w:t>
      </w:r>
    </w:p>
    <w:p w14:paraId="6D4525AA" w14:textId="583DB235" w:rsidR="00D77BB0" w:rsidRDefault="00D77BB0" w:rsidP="000353F3">
      <w:pPr>
        <w:pStyle w:val="NoSpacing"/>
        <w:spacing w:line="480" w:lineRule="auto"/>
        <w:jc w:val="both"/>
      </w:pPr>
      <w:r>
        <w:t xml:space="preserve">Teachers can create an inclusive and engaging learning environment by implementing </w:t>
      </w:r>
      <w:r w:rsidR="00E34D15">
        <w:t xml:space="preserve">Seven Aspects of </w:t>
      </w:r>
      <w:r w:rsidR="0084351E">
        <w:t>Reflective</w:t>
      </w:r>
      <w:r w:rsidR="00E34D15">
        <w:t xml:space="preserve"> Practice </w:t>
      </w:r>
      <w:sdt>
        <w:sdtPr>
          <w:id w:val="1296110005"/>
          <w:citation/>
        </w:sdtPr>
        <w:sdtContent>
          <w:r w:rsidR="00E744C8">
            <w:fldChar w:fldCharType="begin"/>
          </w:r>
          <w:r w:rsidR="00E744C8">
            <w:instrText xml:space="preserve"> CITATION Pet11 \l 1033 </w:instrText>
          </w:r>
          <w:r w:rsidR="00E744C8">
            <w:fldChar w:fldCharType="separate"/>
          </w:r>
          <w:r w:rsidR="00E744C8" w:rsidRPr="00E744C8">
            <w:rPr>
              <w:noProof/>
            </w:rPr>
            <w:t>(Peters, 2011)</w:t>
          </w:r>
          <w:r w:rsidR="00E744C8">
            <w:fldChar w:fldCharType="end"/>
          </w:r>
        </w:sdtContent>
      </w:sdt>
      <w:r w:rsidR="00F66F4F">
        <w:t xml:space="preserve"> . Climate building requires ensuring learners are in </w:t>
      </w:r>
      <w:r w:rsidR="00855CAA">
        <w:t xml:space="preserve">a space where questions are seen as learning growth and opportunities for a group of learners to </w:t>
      </w:r>
      <w:r w:rsidR="00936FEA">
        <w:t>be better collectively.</w:t>
      </w:r>
    </w:p>
    <w:p w14:paraId="1440580D" w14:textId="42910516" w:rsidR="00D1406E" w:rsidRDefault="00D1406E" w:rsidP="000353F3">
      <w:pPr>
        <w:pStyle w:val="NoSpacing"/>
        <w:spacing w:line="480" w:lineRule="auto"/>
        <w:jc w:val="both"/>
      </w:pPr>
      <w:r>
        <w:t>My te</w:t>
      </w:r>
      <w:r w:rsidR="00CE53F3">
        <w:t xml:space="preserve">aching technique is based </w:t>
      </w:r>
      <w:r w:rsidR="00DB3069">
        <w:t xml:space="preserve">leading with lecture, </w:t>
      </w:r>
      <w:r w:rsidR="00396771">
        <w:t>demonstration and using simulations when possible</w:t>
      </w:r>
      <w:r w:rsidR="0043365E">
        <w:t xml:space="preserve"> </w:t>
      </w:r>
      <w:sdt>
        <w:sdtPr>
          <w:id w:val="901336074"/>
          <w:citation/>
        </w:sdtPr>
        <w:sdtContent>
          <w:r w:rsidR="0043365E">
            <w:fldChar w:fldCharType="begin"/>
          </w:r>
          <w:r w:rsidR="0043365E">
            <w:instrText xml:space="preserve"> CITATION Bro151 \l 1033 </w:instrText>
          </w:r>
          <w:r w:rsidR="0043365E">
            <w:fldChar w:fldCharType="separate"/>
          </w:r>
          <w:r w:rsidR="0043365E" w:rsidRPr="0043365E">
            <w:rPr>
              <w:noProof/>
            </w:rPr>
            <w:t>(Brockett, 2015)</w:t>
          </w:r>
          <w:r w:rsidR="0043365E">
            <w:fldChar w:fldCharType="end"/>
          </w:r>
        </w:sdtContent>
      </w:sdt>
      <w:r w:rsidR="00C72561">
        <w:t xml:space="preserve">. </w:t>
      </w:r>
      <w:r w:rsidR="00452E73">
        <w:t xml:space="preserve">In my teaching career, adult learning has been most successful </w:t>
      </w:r>
      <w:r w:rsidR="001E6EF9">
        <w:t xml:space="preserve">with behavioral modeling as a key component. Tailoring the learning plan </w:t>
      </w:r>
      <w:r w:rsidR="00057E39">
        <w:t>for</w:t>
      </w:r>
      <w:r w:rsidR="001E6EF9">
        <w:t xml:space="preserve"> the learners worked best. One of my most recent learners </w:t>
      </w:r>
      <w:r w:rsidR="00124970">
        <w:t>retired</w:t>
      </w:r>
      <w:r w:rsidR="00AC57B0">
        <w:t xml:space="preserve"> and had not taken any formal learning classes in over 40 years. Initially, there was frustration as a facilitator as this learner wasn’t keeping </w:t>
      </w:r>
      <w:r w:rsidR="00124970">
        <w:t>up and</w:t>
      </w:r>
      <w:r w:rsidR="00F7766D">
        <w:t xml:space="preserve"> was slowing class progress. </w:t>
      </w:r>
      <w:r w:rsidR="00124970">
        <w:t>To</w:t>
      </w:r>
      <w:r w:rsidR="00D651B4">
        <w:t xml:space="preserve"> increase accountability in the workgroup, we implemented group discussion</w:t>
      </w:r>
      <w:r w:rsidR="001946B2">
        <w:t>s and learning contracts. Allowing the learning group to have accountability amongst itself was key to creating buy-in among the entire group</w:t>
      </w:r>
      <w:r w:rsidR="00124970">
        <w:t>.</w:t>
      </w:r>
    </w:p>
    <w:p w14:paraId="01073316" w14:textId="7A248D4C" w:rsidR="00BA7550" w:rsidRDefault="00BA7550" w:rsidP="000353F3">
      <w:pPr>
        <w:pStyle w:val="NoSpacing"/>
        <w:spacing w:line="480" w:lineRule="auto"/>
        <w:jc w:val="both"/>
      </w:pPr>
      <w:r>
        <w:t>Assessing student learning and teaching effectiveness</w:t>
      </w:r>
      <w:r w:rsidR="001B0B65">
        <w:t xml:space="preserve"> will not always reflect in outcomes. A very good teacher delivering a great message needs a willing receiver of content. </w:t>
      </w:r>
      <w:r w:rsidR="00F8400A">
        <w:t xml:space="preserve">Asking for </w:t>
      </w:r>
      <w:r w:rsidR="00222C84">
        <w:t xml:space="preserve">formative </w:t>
      </w:r>
      <w:r w:rsidR="00F8400A">
        <w:t xml:space="preserve">feedback </w:t>
      </w:r>
      <w:r w:rsidR="005D1CE6">
        <w:t>from learners</w:t>
      </w:r>
      <w:sdt>
        <w:sdtPr>
          <w:id w:val="-1563172066"/>
          <w:citation/>
        </w:sdtPr>
        <w:sdtContent>
          <w:r w:rsidR="00D8231B">
            <w:fldChar w:fldCharType="begin"/>
          </w:r>
          <w:r w:rsidR="00D8231B">
            <w:instrText xml:space="preserve"> CITATION Koc23 \l 1033 </w:instrText>
          </w:r>
          <w:r w:rsidR="00D8231B">
            <w:fldChar w:fldCharType="separate"/>
          </w:r>
          <w:r w:rsidR="00D8231B">
            <w:rPr>
              <w:noProof/>
            </w:rPr>
            <w:t xml:space="preserve"> </w:t>
          </w:r>
          <w:r w:rsidR="00D8231B" w:rsidRPr="00D8231B">
            <w:rPr>
              <w:noProof/>
            </w:rPr>
            <w:t>(Koch, 2023)</w:t>
          </w:r>
          <w:r w:rsidR="00D8231B">
            <w:fldChar w:fldCharType="end"/>
          </w:r>
        </w:sdtContent>
      </w:sdt>
      <w:r w:rsidR="005D1CE6">
        <w:t xml:space="preserve"> , compiling the feedback, and choosing an item to implement each learning session is a </w:t>
      </w:r>
      <w:r w:rsidR="00F80FF7">
        <w:t xml:space="preserve">teaching goal in my career. </w:t>
      </w:r>
      <w:r w:rsidR="00D8231B">
        <w:t xml:space="preserve">My experience has shown that listening to the </w:t>
      </w:r>
      <w:r w:rsidR="005F5426">
        <w:t>learner is crucial to being a good facilitator, even without formal training. Feedback is a gift that learners provide teachers to provide two way learning and reflection.</w:t>
      </w:r>
    </w:p>
    <w:p w14:paraId="39050925" w14:textId="25FBDB1B" w:rsidR="005F5426" w:rsidRPr="008517ED" w:rsidRDefault="005F5426" w:rsidP="000353F3">
      <w:pPr>
        <w:pStyle w:val="NoSpacing"/>
        <w:spacing w:line="480" w:lineRule="auto"/>
        <w:jc w:val="both"/>
      </w:pPr>
      <w:r>
        <w:t xml:space="preserve">As a teacher, my goal is to ensure learning is </w:t>
      </w:r>
      <w:r w:rsidR="00057E39">
        <w:t xml:space="preserve">alive in its content and reception. Understanding the demands of adult learners is important in selecting content delivery and focus. Being a successful teacher requires being able to pivot content delivery to suit the needs of the audience. </w:t>
      </w:r>
      <w:r w:rsidR="00234D20">
        <w:t xml:space="preserve">Inclusivity in the learning space enriches the learning experience , while leaving spaces for techniques such as </w:t>
      </w:r>
      <w:r w:rsidR="00234D20">
        <w:lastRenderedPageBreak/>
        <w:t>lecture and simulation. Being willing to listen and solicit feedback</w:t>
      </w:r>
      <w:r w:rsidR="00CB5848">
        <w:t xml:space="preserve"> with a clear plan for implementation gives the teacher learning opportunities , while ensuring the learning environment grows </w:t>
      </w:r>
      <w:r w:rsidR="000304F2">
        <w:t>for present and future learners.</w:t>
      </w:r>
    </w:p>
    <w:p w14:paraId="4C8DF67A" w14:textId="77777777" w:rsidR="00BC60E1" w:rsidRDefault="00BC60E1" w:rsidP="000353F3">
      <w:pPr>
        <w:pStyle w:val="NoSpacing"/>
        <w:spacing w:line="480" w:lineRule="auto"/>
        <w:jc w:val="both"/>
      </w:pPr>
    </w:p>
    <w:p w14:paraId="081AFB3A" w14:textId="77777777" w:rsidR="00BC60E1" w:rsidRDefault="00BC60E1" w:rsidP="00BC60E1"/>
    <w:p w14:paraId="2B6E3CD8" w14:textId="77777777" w:rsidR="00BC60E1" w:rsidRDefault="00BC60E1" w:rsidP="00BC60E1"/>
    <w:sdt>
      <w:sdtPr>
        <w:id w:val="777294523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4"/>
          <w:szCs w:val="24"/>
        </w:rPr>
      </w:sdtEndPr>
      <w:sdtContent>
        <w:p w14:paraId="16F24703" w14:textId="5810CA35" w:rsidR="000353F3" w:rsidRDefault="000353F3">
          <w:pPr>
            <w:pStyle w:val="Heading1"/>
          </w:pPr>
          <w:r>
            <w:t>Bibliography</w:t>
          </w:r>
        </w:p>
        <w:sdt>
          <w:sdtPr>
            <w:id w:val="111145805"/>
            <w:bibliography/>
          </w:sdtPr>
          <w:sdtContent>
            <w:p w14:paraId="5D885CD8" w14:textId="77777777" w:rsidR="000353F3" w:rsidRDefault="000353F3" w:rsidP="000353F3">
              <w:pPr>
                <w:pStyle w:val="Bibliography"/>
                <w:ind w:left="720" w:hanging="720"/>
                <w:rPr>
                  <w:noProof/>
                  <w:kern w:val="0"/>
                  <w14:ligatures w14:val="none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 xml:space="preserve">Brockett, R. (2015). </w:t>
              </w:r>
              <w:r>
                <w:rPr>
                  <w:i/>
                  <w:iCs/>
                  <w:noProof/>
                </w:rPr>
                <w:t>Teaching Adults: A Practical Guide for New Teachers.</w:t>
              </w:r>
              <w:r>
                <w:rPr>
                  <w:noProof/>
                </w:rPr>
                <w:t xml:space="preserve"> San Francisco: John Wiley &amp; Sons, Inc.</w:t>
              </w:r>
            </w:p>
            <w:p w14:paraId="535EB6AA" w14:textId="77777777" w:rsidR="000353F3" w:rsidRDefault="000353F3" w:rsidP="000353F3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Koch, S. (2023, December 18). </w:t>
              </w:r>
              <w:r>
                <w:rPr>
                  <w:i/>
                  <w:iCs/>
                  <w:noProof/>
                </w:rPr>
                <w:t>Formative feedback strategies every teacher should know about</w:t>
              </w:r>
              <w:r>
                <w:rPr>
                  <w:noProof/>
                </w:rPr>
                <w:t>. Retrieved from Hapara: https://hapara.com/blog/formative-feedback-strategies-every-teacher-should-know-about/</w:t>
              </w:r>
            </w:p>
            <w:p w14:paraId="73927CAF" w14:textId="77777777" w:rsidR="000353F3" w:rsidRDefault="000353F3" w:rsidP="000353F3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Peters, J. (2011). </w:t>
              </w:r>
              <w:r>
                <w:rPr>
                  <w:i/>
                  <w:iCs/>
                  <w:noProof/>
                </w:rPr>
                <w:t>Training in Reflective Practice for Mediators.</w:t>
              </w:r>
              <w:r>
                <w:rPr>
                  <w:noProof/>
                </w:rPr>
                <w:t xml:space="preserve"> Knoxville: University of Tennessee.</w:t>
              </w:r>
            </w:p>
            <w:p w14:paraId="55C6391D" w14:textId="77777777" w:rsidR="000353F3" w:rsidRDefault="000353F3" w:rsidP="000353F3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Tuset, M. (2022, November 7). </w:t>
              </w:r>
              <w:r>
                <w:rPr>
                  <w:i/>
                  <w:iCs/>
                  <w:noProof/>
                </w:rPr>
                <w:t>Overcoming Barriers for Adult Learners</w:t>
              </w:r>
              <w:r>
                <w:rPr>
                  <w:noProof/>
                </w:rPr>
                <w:t>. Retrieved from CAEL: https://www.cael.org/resouces/pathways-blog/overcoming-barriers-for-adult-learners</w:t>
              </w:r>
            </w:p>
            <w:p w14:paraId="679AF516" w14:textId="6FC0F200" w:rsidR="000353F3" w:rsidRDefault="000353F3" w:rsidP="000353F3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6F16EEBC" w14:textId="77777777" w:rsidR="00BC60E1" w:rsidRDefault="00BC60E1" w:rsidP="00BC60E1"/>
    <w:p w14:paraId="49F88C6D" w14:textId="77777777" w:rsidR="00BC60E1" w:rsidRDefault="00BC60E1" w:rsidP="00BC60E1"/>
    <w:p w14:paraId="50564351" w14:textId="77777777" w:rsidR="00BC60E1" w:rsidRDefault="00BC60E1" w:rsidP="00BC60E1"/>
    <w:p w14:paraId="6A68D52C" w14:textId="77777777" w:rsidR="00BC60E1" w:rsidRDefault="00BC60E1" w:rsidP="00BC60E1"/>
    <w:sectPr w:rsidR="00BC60E1" w:rsidSect="00291446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E1"/>
    <w:rsid w:val="000304F2"/>
    <w:rsid w:val="000353F3"/>
    <w:rsid w:val="00052696"/>
    <w:rsid w:val="00057E39"/>
    <w:rsid w:val="00075D4D"/>
    <w:rsid w:val="000A7229"/>
    <w:rsid w:val="000E2AF1"/>
    <w:rsid w:val="00124970"/>
    <w:rsid w:val="00127131"/>
    <w:rsid w:val="00172DA2"/>
    <w:rsid w:val="001946B2"/>
    <w:rsid w:val="001B0B65"/>
    <w:rsid w:val="001E6EF9"/>
    <w:rsid w:val="00214A03"/>
    <w:rsid w:val="00222C84"/>
    <w:rsid w:val="00231A14"/>
    <w:rsid w:val="00234D20"/>
    <w:rsid w:val="00291446"/>
    <w:rsid w:val="00304F55"/>
    <w:rsid w:val="00396771"/>
    <w:rsid w:val="0043365E"/>
    <w:rsid w:val="00452E73"/>
    <w:rsid w:val="004F27D1"/>
    <w:rsid w:val="005B00CB"/>
    <w:rsid w:val="005D1CE6"/>
    <w:rsid w:val="005F5426"/>
    <w:rsid w:val="00620504"/>
    <w:rsid w:val="00627A8D"/>
    <w:rsid w:val="00697720"/>
    <w:rsid w:val="00746F2F"/>
    <w:rsid w:val="00753B9D"/>
    <w:rsid w:val="0078524D"/>
    <w:rsid w:val="0082193B"/>
    <w:rsid w:val="0084351E"/>
    <w:rsid w:val="00847A0D"/>
    <w:rsid w:val="008517ED"/>
    <w:rsid w:val="00855CAA"/>
    <w:rsid w:val="00893794"/>
    <w:rsid w:val="008C3C82"/>
    <w:rsid w:val="008E3D3C"/>
    <w:rsid w:val="008F2DE6"/>
    <w:rsid w:val="00936FEA"/>
    <w:rsid w:val="009419FB"/>
    <w:rsid w:val="00943BED"/>
    <w:rsid w:val="00965259"/>
    <w:rsid w:val="00991130"/>
    <w:rsid w:val="009930E8"/>
    <w:rsid w:val="009D64CC"/>
    <w:rsid w:val="009E3B38"/>
    <w:rsid w:val="00AB476B"/>
    <w:rsid w:val="00AC57B0"/>
    <w:rsid w:val="00BA7550"/>
    <w:rsid w:val="00BB4062"/>
    <w:rsid w:val="00BC60E1"/>
    <w:rsid w:val="00BD479C"/>
    <w:rsid w:val="00C160B7"/>
    <w:rsid w:val="00C72561"/>
    <w:rsid w:val="00CB002B"/>
    <w:rsid w:val="00CB5848"/>
    <w:rsid w:val="00CC765B"/>
    <w:rsid w:val="00CE53F3"/>
    <w:rsid w:val="00D069A7"/>
    <w:rsid w:val="00D1406E"/>
    <w:rsid w:val="00D651B4"/>
    <w:rsid w:val="00D77BB0"/>
    <w:rsid w:val="00D8231B"/>
    <w:rsid w:val="00DB3069"/>
    <w:rsid w:val="00DB5BB6"/>
    <w:rsid w:val="00E34D15"/>
    <w:rsid w:val="00E41DB0"/>
    <w:rsid w:val="00E744C8"/>
    <w:rsid w:val="00E75160"/>
    <w:rsid w:val="00F66F4F"/>
    <w:rsid w:val="00F7766D"/>
    <w:rsid w:val="00F80FF7"/>
    <w:rsid w:val="00F8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1FDAA"/>
  <w15:chartTrackingRefBased/>
  <w15:docId w15:val="{D06DE87A-1EB8-4160-BEAC-13CD5EA6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0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0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0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0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0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0E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291446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91446"/>
    <w:rPr>
      <w:rFonts w:eastAsiaTheme="minorEastAsia"/>
      <w:kern w:val="0"/>
      <w:sz w:val="22"/>
      <w:szCs w:val="22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035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8983BAF1D5430A932A2A0A0DB1C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7E8BD-C9B2-4781-8C75-5F45E82676CD}"/>
      </w:docPartPr>
      <w:docPartBody>
        <w:p w:rsidR="00D56690" w:rsidRDefault="00D56690" w:rsidP="00D56690">
          <w:pPr>
            <w:pStyle w:val="C68983BAF1D5430A932A2A0A0DB1C08D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EB3A6426EB73482FA16423F858825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D15D2-9720-4D48-99FE-BD790EC68762}"/>
      </w:docPartPr>
      <w:docPartBody>
        <w:p w:rsidR="00D56690" w:rsidRDefault="00D56690" w:rsidP="00D56690">
          <w:pPr>
            <w:pStyle w:val="EB3A6426EB73482FA16423F858825B5A"/>
          </w:pPr>
          <w:r>
            <w:rPr>
              <w:color w:val="156082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90"/>
    <w:rsid w:val="00D56690"/>
    <w:rsid w:val="00DB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8983BAF1D5430A932A2A0A0DB1C08D">
    <w:name w:val="C68983BAF1D5430A932A2A0A0DB1C08D"/>
    <w:rsid w:val="00D56690"/>
  </w:style>
  <w:style w:type="paragraph" w:customStyle="1" w:styleId="EB3A6426EB73482FA16423F858825B5A">
    <w:name w:val="EB3A6426EB73482FA16423F858825B5A"/>
    <w:rsid w:val="00D566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2025-10-15T00:00:00</PublishDate>
  <Abstract/>
  <CompanyAddress>1500 North Patterson Street, Valdosta Georgia 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F4653D5C024B938C24174BB5FCFC" ma:contentTypeVersion="3" ma:contentTypeDescription="Create a new document." ma:contentTypeScope="" ma:versionID="45025dab52d8f69c7159f9847999906d">
  <xsd:schema xmlns:xsd="http://www.w3.org/2001/XMLSchema" xmlns:xs="http://www.w3.org/2001/XMLSchema" xmlns:p="http://schemas.microsoft.com/office/2006/metadata/properties" xmlns:ns3="c788136a-703b-4a3f-a1a9-b21c3bffd680" targetNamespace="http://schemas.microsoft.com/office/2006/metadata/properties" ma:root="true" ma:fieldsID="9e7537d8f4729f5f10bd933f0cbd8647" ns3:_="">
    <xsd:import namespace="c788136a-703b-4a3f-a1a9-b21c3bffd6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8136a-703b-4a3f-a1a9-b21c3bffd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Pet11</b:Tag>
    <b:SourceType>Book</b:SourceType>
    <b:Guid>{19B92659-50CC-42B4-ADB0-1F233A5A4081}</b:Guid>
    <b:Author>
      <b:Author>
        <b:NameList>
          <b:Person>
            <b:Last>Peters</b:Last>
            <b:First>J.</b:First>
          </b:Person>
        </b:NameList>
      </b:Author>
    </b:Author>
    <b:Title>Training in Reflective Practice for Mediators</b:Title>
    <b:Year>2011</b:Year>
    <b:City>Knoxville</b:City>
    <b:Publisher>University of Tennessee</b:Publisher>
    <b:RefOrder>2</b:RefOrder>
  </b:Source>
  <b:Source>
    <b:Tag>Bro151</b:Tag>
    <b:SourceType>Book</b:SourceType>
    <b:Guid>{A047C6DA-9AA8-4C9D-A465-DC45E7254A65}</b:Guid>
    <b:Author>
      <b:Author>
        <b:NameList>
          <b:Person>
            <b:Last>Brockett</b:Last>
            <b:First>Ralph</b:First>
          </b:Person>
        </b:NameList>
      </b:Author>
    </b:Author>
    <b:Title>Teaching Adults: A Practical Guide for New Teachers</b:Title>
    <b:Year>2015</b:Year>
    <b:City>San Francisco</b:City>
    <b:Publisher>John Wiley &amp; Sons, Inc</b:Publisher>
    <b:RefOrder>3</b:RefOrder>
  </b:Source>
  <b:Source>
    <b:Tag>Tus22</b:Tag>
    <b:SourceType>InternetSite</b:SourceType>
    <b:Guid>{92F2E3BF-3399-461E-8D65-25E268A70446}</b:Guid>
    <b:Title>Overcoming Barriers for Adult Learners</b:Title>
    <b:Year>2022</b:Year>
    <b:Author>
      <b:Author>
        <b:NameList>
          <b:Person>
            <b:Last>Tuset</b:Last>
            <b:First>Monique</b:First>
          </b:Person>
        </b:NameList>
      </b:Author>
    </b:Author>
    <b:InternetSiteTitle>CAEL</b:InternetSiteTitle>
    <b:Month>November</b:Month>
    <b:Day>7</b:Day>
    <b:URL>https://www.cael.org/resouces/pathways-blog/overcoming-barriers-for-adult-learners</b:URL>
    <b:RefOrder>1</b:RefOrder>
  </b:Source>
  <b:Source>
    <b:Tag>Koc23</b:Tag>
    <b:SourceType>InternetSite</b:SourceType>
    <b:Guid>{E22E1C4D-FC15-4AEE-B303-DB2F50784C74}</b:Guid>
    <b:Author>
      <b:Author>
        <b:NameList>
          <b:Person>
            <b:Last>Koch</b:Last>
            <b:First>Sheliamary</b:First>
          </b:Person>
        </b:NameList>
      </b:Author>
    </b:Author>
    <b:Title>Formative feedback strategies every teacher should know about</b:Title>
    <b:InternetSiteTitle>Hapara</b:InternetSiteTitle>
    <b:Year>2023</b:Year>
    <b:Month>December</b:Month>
    <b:Day>18</b:Day>
    <b:URL>https://hapara.com/blog/formative-feedback-strategies-every-teacher-should-know-about/</b:URL>
    <b:RefOrder>4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B175FD-C651-4034-8BE0-404EEF0A8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8136a-703b-4a3f-a1a9-b21c3bffd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E0B92-9ED6-413B-89A4-3215AD18BC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5A14BB-5594-4B7D-BED4-E9F7C97BCEBF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c788136a-703b-4a3f-a1a9-b21c3bffd680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D33F2717-4D68-4649-979C-9A2B2F0B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university- Adult learning &amp; Education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LEARNING STATEMENT</dc:title>
  <dc:subject>Educating Adults in a Changing World</dc:subject>
  <dc:creator>Byron D Williams</dc:creator>
  <cp:keywords/>
  <dc:description/>
  <cp:lastModifiedBy>Byron D Williams</cp:lastModifiedBy>
  <cp:revision>2</cp:revision>
  <dcterms:created xsi:type="dcterms:W3CDTF">2025-10-16T03:58:00Z</dcterms:created>
  <dcterms:modified xsi:type="dcterms:W3CDTF">2025-10-16T03:58:00Z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0x010100B33BF4653D5C024B938C24174BB5FCFC</vt:lpwstr>
  </property>
</Properties>
</file>